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FF" w:rsidRPr="00734BD1" w:rsidRDefault="005A29FF" w:rsidP="005A29FF">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 xml:space="preserve">ỦY BAN NHÂN DÂN           </w:t>
      </w:r>
      <w:r w:rsidRPr="007D1CD6">
        <w:rPr>
          <w:rFonts w:ascii="Times New Roman" w:hAnsi="Times New Roman" w:cs="Times New Roman"/>
          <w:color w:val="000000"/>
          <w:sz w:val="28"/>
          <w:szCs w:val="28"/>
        </w:rPr>
        <w:t>CỘNG HÒA XÃ HỘI CHỦ NGHĨA VIỆT NAM</w:t>
      </w:r>
    </w:p>
    <w:p w:rsidR="005A29FF" w:rsidRPr="00734BD1" w:rsidRDefault="005A29FF" w:rsidP="005A29FF">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492EA4A0" wp14:editId="1D6E60B3">
                <wp:simplePos x="0" y="0"/>
                <wp:positionH relativeFrom="column">
                  <wp:posOffset>453390</wp:posOffset>
                </wp:positionH>
                <wp:positionV relativeFrom="paragraph">
                  <wp:posOffset>216535</wp:posOffset>
                </wp:positionV>
                <wp:extent cx="733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5.7pt;margin-top:17.0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"/>
            </w:pict>
          </mc:Fallback>
        </mc:AlternateContent>
      </w:r>
      <w:r w:rsidRPr="00734BD1">
        <w:rPr>
          <w:rFonts w:ascii="Times New Roman" w:hAnsi="Times New Roman" w:cs="Times New Roman"/>
          <w:b/>
          <w:color w:val="000000"/>
          <w:sz w:val="28"/>
          <w:szCs w:val="28"/>
        </w:rPr>
        <w:t xml:space="preserve">  </w:t>
      </w:r>
      <w:r w:rsidR="007D1CD6">
        <w:rPr>
          <w:rFonts w:ascii="Times New Roman" w:hAnsi="Times New Roman" w:cs="Times New Roman"/>
          <w:b/>
          <w:color w:val="000000"/>
          <w:sz w:val="28"/>
          <w:szCs w:val="28"/>
        </w:rPr>
        <w:t xml:space="preserve">     </w:t>
      </w:r>
      <w:r w:rsidRPr="00734BD1">
        <w:rPr>
          <w:rFonts w:ascii="Times New Roman" w:hAnsi="Times New Roman" w:cs="Times New Roman"/>
          <w:b/>
          <w:color w:val="000000"/>
          <w:sz w:val="28"/>
          <w:szCs w:val="28"/>
        </w:rPr>
        <w:t xml:space="preserve">XÃ </w:t>
      </w:r>
      <w:r w:rsidR="007D1CD6">
        <w:rPr>
          <w:rFonts w:ascii="Times New Roman" w:hAnsi="Times New Roman" w:cs="Times New Roman"/>
          <w:b/>
          <w:color w:val="000000"/>
          <w:sz w:val="28"/>
          <w:szCs w:val="28"/>
        </w:rPr>
        <w:t>YÊN HỒ</w:t>
      </w:r>
      <w:r w:rsidRPr="00734BD1">
        <w:rPr>
          <w:rFonts w:ascii="Times New Roman" w:hAnsi="Times New Roman" w:cs="Times New Roman"/>
          <w:b/>
          <w:color w:val="000000"/>
          <w:sz w:val="28"/>
          <w:szCs w:val="28"/>
        </w:rPr>
        <w:t xml:space="preserve">                                  Độc lập- Tự do- Hạnh phúc</w:t>
      </w:r>
    </w:p>
    <w:p w:rsidR="005A29FF" w:rsidRPr="00734BD1" w:rsidRDefault="005A29FF" w:rsidP="005A29FF">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2E806CF3" wp14:editId="0FE0696B">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5A29FF" w:rsidRPr="00734BD1" w:rsidRDefault="005A29FF" w:rsidP="005A29FF">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5A29FF" w:rsidRPr="005A29FF" w:rsidRDefault="005A29FF" w:rsidP="005A29FF">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 xml:space="preserve">XÃ </w:t>
      </w:r>
      <w:r w:rsidR="002A09E6">
        <w:rPr>
          <w:rFonts w:ascii="Times New Roman" w:hAnsi="Times New Roman" w:cs="Times New Roman"/>
          <w:b/>
          <w:color w:val="000000"/>
          <w:sz w:val="28"/>
          <w:szCs w:val="28"/>
        </w:rPr>
        <w:t>YÊN HỒ</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b/>
          <w:color w:val="333333"/>
          <w:sz w:val="32"/>
          <w:szCs w:val="26"/>
        </w:rPr>
      </w:pPr>
      <w:r w:rsidRPr="00070177">
        <w:rPr>
          <w:rFonts w:ascii="NotoSerif" w:eastAsia="Times New Roman" w:hAnsi="NotoSerif" w:cs="Times New Roman"/>
          <w:b/>
          <w:color w:val="333333"/>
          <w:sz w:val="32"/>
          <w:szCs w:val="26"/>
        </w:rPr>
        <w:t>Chính sách mới có hiệu lực từ tháng 2/2025.</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Sửa quy định về Kiểm lâm và Lực lượng chuyên trách bảo vệ rừng</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Có hiệu lực từ ngày 2/2/20</w:t>
      </w:r>
      <w:r w:rsidR="005A29FF">
        <w:rPr>
          <w:rFonts w:ascii="NotoSerif" w:eastAsia="Times New Roman" w:hAnsi="NotoSerif" w:cs="Times New Roman"/>
          <w:color w:val="333333"/>
          <w:sz w:val="26"/>
          <w:szCs w:val="26"/>
        </w:rPr>
        <w:t>2</w:t>
      </w:r>
      <w:r w:rsidRPr="00070177">
        <w:rPr>
          <w:rFonts w:ascii="NotoSerif" w:eastAsia="Times New Roman" w:hAnsi="NotoSerif" w:cs="Times New Roman"/>
          <w:color w:val="333333"/>
          <w:sz w:val="26"/>
          <w:szCs w:val="26"/>
        </w:rPr>
        <w:t>5, Nghị định số </w:t>
      </w:r>
      <w:hyperlink r:id="rId7" w:tgtFrame="_blank" w:tooltip="159/2024/NĐ-CP" w:history="1">
        <w:r w:rsidRPr="00070177">
          <w:rPr>
            <w:rFonts w:ascii="NotoSerif" w:eastAsia="Times New Roman" w:hAnsi="NotoSerif" w:cs="Times New Roman"/>
            <w:color w:val="0000FF"/>
            <w:sz w:val="26"/>
            <w:szCs w:val="26"/>
            <w:u w:val="single"/>
          </w:rPr>
          <w:t>159/2024/NĐ-CP</w:t>
        </w:r>
      </w:hyperlink>
      <w:r w:rsidRPr="00070177">
        <w:rPr>
          <w:rFonts w:ascii="NotoSerif" w:eastAsia="Times New Roman" w:hAnsi="NotoSerif" w:cs="Times New Roman"/>
          <w:color w:val="333333"/>
          <w:sz w:val="26"/>
          <w:szCs w:val="26"/>
        </w:rPr>
        <w:t> ngày 18/12/2024 của Chính phủ sửa đổi, bổ sung một số điều của Nghị định số 01/2019/NĐ-CP ngày 01/01/2019 của Chính phủ về Kiểm lâm và Lực lượng chuyên trách bảo vệ rừng.</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Về nhiệm vụ, quyền hạn của Kiểm lâm, Nghị định 159/2024/NĐ-CP sửa đổi, bổ sung như sau:</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Kiểm lâm khi thi hành công vụ thực hiện đúng chức trách, nhiệm vụ, quyền hạn được giao và chịu trách nhiệm về thực hiện nhiệm vụ, quyền hạn của mình theo quy định tại Nghị định này và theo quy định của pháp luật; mặc đồng phục, đeo cấp hiệu, kiểm lâm hiệu, biển tên theo quy định.</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Yêu cầu cơ quan, tổ chức, cá nhân có liên quan cung cấp thông tin, tài liệu, chứng cứ, kiểm tra hiện trường, áp dụng các biện pháp ngăn chặn hành vi vi phạm hành chính theo quy định của pháp luật; xử lý vi phạm pháp luật về lâm nghiệp theo quy định của pháp luật về xử lý vi phạm hành chính, xử lý vi phạm pháp luật hình sự...</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Vi phạm hành chính lĩnh vực khí tượng thủy văn bị phạt tới 100 triệu đồng</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Chính phủ ban hành Nghị định số </w:t>
      </w:r>
      <w:hyperlink r:id="rId8" w:tgtFrame="_blank" w:tooltip="155/2024/NĐ-CP" w:history="1">
        <w:r w:rsidRPr="00070177">
          <w:rPr>
            <w:rFonts w:ascii="NotoSerif" w:eastAsia="Times New Roman" w:hAnsi="NotoSerif" w:cs="Times New Roman"/>
            <w:color w:val="0000FF"/>
            <w:sz w:val="26"/>
            <w:szCs w:val="26"/>
            <w:u w:val="single"/>
          </w:rPr>
          <w:t>155/2024/NĐ-CP</w:t>
        </w:r>
      </w:hyperlink>
      <w:r w:rsidRPr="00070177">
        <w:rPr>
          <w:rFonts w:ascii="NotoSerif" w:eastAsia="Times New Roman" w:hAnsi="NotoSerif" w:cs="Times New Roman"/>
          <w:color w:val="333333"/>
          <w:sz w:val="26"/>
          <w:szCs w:val="26"/>
        </w:rPr>
        <w:t> ngày 10/12/2024 quy định về xử phạt vi phạm hành chính trong lĩnh vực khí tượng thủy văn. Nghị định có hiệu lực từ ngày 1/2/2025.</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Theo Nghị định, đối với mỗi hành vi vi phạm hành chính trong lĩnh vực khí tượng thuỷ văn thì tổ chức, cá nhân vi phạm phải chịu hình thức xử phạt chính là phạt tiền. Mức phạt tiền tối đa đối với một hành vi vi phạm hành chính trong lĩnh vực khí tượng thủy văn là 50 triệu đồng đối với cá nhân và 100 triệu đồng đối với tổ chức.</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Quy định mới về chức năng của cơ quan thanh tra Công an nhân dân</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lastRenderedPageBreak/>
        <w:t>Chính phủ ban hành Nghị định </w:t>
      </w:r>
      <w:hyperlink r:id="rId9" w:tgtFrame="_blank" w:tooltip="164/2024/NĐ-CP" w:history="1">
        <w:r w:rsidRPr="00070177">
          <w:rPr>
            <w:rFonts w:ascii="NotoSerif" w:eastAsia="Times New Roman" w:hAnsi="NotoSerif" w:cs="Times New Roman"/>
            <w:color w:val="0000FF"/>
            <w:sz w:val="26"/>
            <w:szCs w:val="26"/>
            <w:u w:val="single"/>
          </w:rPr>
          <w:t>164/2024/NĐ-CP</w:t>
        </w:r>
      </w:hyperlink>
      <w:r w:rsidRPr="00070177">
        <w:rPr>
          <w:rFonts w:ascii="NotoSerif" w:eastAsia="Times New Roman" w:hAnsi="NotoSerif" w:cs="Times New Roman"/>
          <w:color w:val="333333"/>
          <w:sz w:val="26"/>
          <w:szCs w:val="26"/>
        </w:rPr>
        <w:t> ngày 25/12/2024 quy định về tổ chức và hoạt động của thanh tra Công an nhân dân. Nghị định có hiệu lực thi hành từ ngày 10/2/2025.</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Về chức năng của cơ quan thanh tra Công an nhân dân, Nghị định 164/2024/NĐ-CP nêu rõ: 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Vi phạm hành chính trong kinh doanh bảo hiểm bị phạt tới 200 triệu đồng</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Chính phủ ban hành Nghị định số </w:t>
      </w:r>
      <w:hyperlink r:id="rId10" w:tgtFrame="_blank" w:tooltip="174/2024/NĐ-CP" w:history="1">
        <w:r w:rsidRPr="00070177">
          <w:rPr>
            <w:rFonts w:ascii="NotoSerif" w:eastAsia="Times New Roman" w:hAnsi="NotoSerif" w:cs="Times New Roman"/>
            <w:color w:val="0000FF"/>
            <w:sz w:val="26"/>
            <w:szCs w:val="26"/>
            <w:u w:val="single"/>
          </w:rPr>
          <w:t>174/2024/NĐ-CP</w:t>
        </w:r>
      </w:hyperlink>
      <w:r w:rsidRPr="00070177">
        <w:rPr>
          <w:rFonts w:ascii="NotoSerif" w:eastAsia="Times New Roman" w:hAnsi="NotoSerif" w:cs="Times New Roman"/>
          <w:color w:val="333333"/>
          <w:sz w:val="26"/>
          <w:szCs w:val="26"/>
        </w:rPr>
        <w:t> ngày 30/12/2024 quy định về xử phạt vi phạm hành chính trong lĩnh vực kinh doanh bảo hiểm, có hiệu lực thi hành từ ngày 15/2/2025.</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Nghị định này quy định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trong lĩnh vực kinh doanh bảo hiểm.</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Đối với mỗi hành vi vi phạm hành chính trong lĩnh vực kinh doanh bảo hiểm, tổ chức, cá nhân bị áp dụng hình thức xử phạt chính là phạt tiền.</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Mức xử phạt bằng tiền đối với tổ chức bằng 02 lần mức phạt tiền đối với cá nhân cho cùng hành vi vi phạm. Mức phạt tiền đối với cá nhân có hành vi vi phạm hành chính trong lĩnh vực kinh doanh bảo hiểm tối đa là 100 triệu đồng, đối với tổ chức tối đa là 200 triệu đồng.</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Hỗ trợ sản xuất nông nghiệp bị thiệt hại do thiên tai, dịch hại thực vật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Chính phủ ban hành Nghị định số</w:t>
      </w:r>
      <w:hyperlink r:id="rId11" w:tgtFrame="_blank" w:tooltip=" 9/2025/NĐ-CP" w:history="1">
        <w:r w:rsidRPr="00070177">
          <w:rPr>
            <w:rFonts w:ascii="NotoSerif" w:eastAsia="Times New Roman" w:hAnsi="NotoSerif" w:cs="Times New Roman"/>
            <w:color w:val="0000FF"/>
            <w:sz w:val="26"/>
            <w:szCs w:val="26"/>
            <w:u w:val="single"/>
          </w:rPr>
          <w:t> 9/2025/NĐ-CP</w:t>
        </w:r>
      </w:hyperlink>
      <w:r w:rsidRPr="00070177">
        <w:rPr>
          <w:rFonts w:ascii="NotoSerif" w:eastAsia="Times New Roman" w:hAnsi="NotoSerif" w:cs="Times New Roman"/>
          <w:color w:val="333333"/>
          <w:sz w:val="26"/>
          <w:szCs w:val="26"/>
        </w:rPr>
        <w:t> ngày 10/1/2025 quy định về chính sách hỗ trợ sản xuất nông nghiệp để khôi phục sản xuất vùng bị thiệt hại do thiên tai, dịch hại thực vật.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lastRenderedPageBreak/>
        <w:t>Nghị định này quy định về chính sách hỗ trợ giống cây trồng, vật nuôi, thủy sản, lâm nghiệp, sản xuất muối hoặc một phần chi phí sản xuất ban đầu để khôi phục sản xuất nông nghiệp vùng bị thiệt hại do thiên tai, dịch hại thực vật.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Theo quy định, mức hỗ trợ đối với thủy sản bị thiệt hại do thiên tai (bao gồm nuôi trồng thuỷ sản, sản xuất, ương dưỡng giống thủy sản) như sau:</w:t>
      </w:r>
    </w:p>
    <w:p w:rsidR="00070177" w:rsidRPr="00070177" w:rsidRDefault="00070177" w:rsidP="005A29FF">
      <w:pPr>
        <w:shd w:val="clear" w:color="auto" w:fill="FFFFFF"/>
        <w:spacing w:after="0" w:line="450" w:lineRule="atLeast"/>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Nuôi trồng thuỷ sản bán thâm canh, thâm canh trong ao (đầm/hầm): hỗ trợ 60 triệu đồng/ha diện tích nuôi bị thiệt hại.</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Nuôi trồng thuỷ sản trong bể, lồng, bè: hỗ trợ 30 triệu đồng/100 m</w:t>
      </w:r>
      <w:r w:rsidRPr="00070177">
        <w:rPr>
          <w:rFonts w:ascii="NotoSerif" w:eastAsia="Times New Roman" w:hAnsi="NotoSerif" w:cs="Times New Roman"/>
          <w:color w:val="333333"/>
          <w:sz w:val="26"/>
          <w:szCs w:val="26"/>
          <w:vertAlign w:val="superscript"/>
        </w:rPr>
        <w:t>3</w:t>
      </w:r>
      <w:r w:rsidRPr="00070177">
        <w:rPr>
          <w:rFonts w:ascii="NotoSerif" w:eastAsia="Times New Roman" w:hAnsi="NotoSerif" w:cs="Times New Roman"/>
          <w:color w:val="333333"/>
          <w:sz w:val="26"/>
          <w:szCs w:val="26"/>
        </w:rPr>
        <w:t> thể tích nuôi bị thiệt hại.</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Nuôi trồng thuỷ sản theo hình thức khác: hỗ trợ 15 triệu đồng/ha diện tích nuôi bị thiệt hại.</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Nghị định trên có hiệu lực từ ngày 25/2/2025.</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Quy trình kỹ thuật thu gom, vận chuyển, xử lý chất thải rắn sinh hoạt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Ngày 19/12/2024, Bộ Tài nguyên và Môi trường ban hành Thông tư </w:t>
      </w:r>
      <w:hyperlink r:id="rId12" w:tgtFrame="_blank" w:tooltip="35/2024/TT-BTNMT" w:history="1">
        <w:r w:rsidRPr="00070177">
          <w:rPr>
            <w:rFonts w:ascii="NotoSerif" w:eastAsia="Times New Roman" w:hAnsi="NotoSerif" w:cs="Times New Roman"/>
            <w:color w:val="0000FF"/>
            <w:sz w:val="26"/>
            <w:szCs w:val="26"/>
            <w:u w:val="single"/>
          </w:rPr>
          <w:t>35/2024/TT-BTNMT</w:t>
        </w:r>
      </w:hyperlink>
      <w:r w:rsidRPr="00070177">
        <w:rPr>
          <w:rFonts w:ascii="NotoSerif" w:eastAsia="Times New Roman" w:hAnsi="NotoSerif" w:cs="Times New Roman"/>
          <w:color w:val="333333"/>
          <w:sz w:val="26"/>
          <w:szCs w:val="26"/>
        </w:rPr>
        <w:t> về quy trình kỹ thuật thu gom, vận chuyển, xử lý chất thải rắn sinh hoạt.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Theo đó, Thông tư 35/2024/TT-BTNMT quy định quy trình kỹ thuật thu gom, vận chuyển, xử lý chất thải rắn sinh hoạt từ hộ gia đình, cá nhân đã được phân loại.</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Các quy trình kỹ thuật thu gom, vận chuyển, xử lý chất thải rắn sinh hoạt được quy định bao gồm:</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Các quy trình kỹ thuật thu gom, vận chuyển chất thải rắn sinh hoạt: quy trình kỹ thuật thu gom thủ công chất thải rắn sinh hoạt từ hộ gia đình, cá nhân đến điểm tập kết; quy trình kỹ thuật thu gom cơ giới chất thải rắn sinh hoạt từ hộ gia đình, cá nhân đến cơ sở tiếp nhận; quy trình kỹ thuật vận chuyển chất thải rắn sinh hoạt từ điểm tập kết đến cơ sở tiếp nhận, từ trạm trung chuyển đến cơ sở xử lý; quy trình kỹ thuật vận chuyển chất thải cồng kềnh từ điểm thu gom đến cơ sở xử lý;</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Quy trình kỹ thuật vận chuyển chất thải nguy hại phát sinh từ hộ gia đình, cá nhân, điểm thu gom đến cơ sở xử lý hoặc điểm lưu giữ chất thải nguy hại; quy trình kỹ thuật vận chuyển nước thải phát sinh trong quá trình thu gom, vận chuyển, xử lý chất thải rắn sinh hoạt đến cơ sở xử lý; quy trình kỹ thuật vệ sinh điểm tập kết chất thải rắn sinh hoạt;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lastRenderedPageBreak/>
        <w:t>+ Các quy trình kỹ thuật vận hành trạm phân loại chất thải có khả năng tái sử dụng, tái chế và trung chuyển chất thải rắn sinh hoạt: quy trình kỹ thuật vận hành trạm phân loại chất thải có khả năng tái sử dụng, tái chế; quy trình kỹ thuật vận hành trạm trung chuyển chất thải rắn sinh hoạt sử dụng thiết bị ép; quy trình kỹ thuật vận hành trạm trung chuyển chất thải rắn sinh hoạt không sử dụng thiết bị ép;</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Các quy trình kỹ thuật xử lý chất thải rắn sinh hoạt: quy trình kỹ thuật vận hành cơ sở xử lý chất thải thực phẩm thành mùn; quy trình kỹ thuật vận hành cơ sở chôn lấp chất thải rắn sinh hoạt hợp vệ sinh; quy trình kỹ thuật vận hành cơ sở đốt chất thải rắn sinh hoạt thu hồi năng lượng để phát điện; quy trình kỹ thuật vận hành cơ sở đốt chất thải rắn sinh hoạt không thu hồi năng lượng; quy trình kỹ thuật vận hành cơ sở xử lý chất thải cồng kềnh; quy trình kỹ thuật vận hành cơ sở xử lý nước thải phát sinh trong quá trình thu gom, vận chuyển, xử lý chất thải rắn sinh hoạt.</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Thông tư trên có hiệu lực từ ngày 3/2/2025.</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Hướng dẫn thực hiện quy định về trình tự, thủ tục tiến hành một cuộc thanh tra</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Ngày 18/12/2024, Thanh tra Chính phủ đã ban hành Thông tư số </w:t>
      </w:r>
      <w:hyperlink r:id="rId13" w:tgtFrame="_blank" w:tooltip="08/2024/TT-TTCP" w:history="1">
        <w:r w:rsidRPr="00070177">
          <w:rPr>
            <w:rFonts w:ascii="NotoSerif" w:eastAsia="Times New Roman" w:hAnsi="NotoSerif" w:cs="Times New Roman"/>
            <w:color w:val="0000FF"/>
            <w:sz w:val="26"/>
            <w:szCs w:val="26"/>
            <w:u w:val="single"/>
          </w:rPr>
          <w:t>08/2024/TT-TTCP</w:t>
        </w:r>
      </w:hyperlink>
      <w:r w:rsidRPr="00070177">
        <w:rPr>
          <w:rFonts w:ascii="NotoSerif" w:eastAsia="Times New Roman" w:hAnsi="NotoSerif" w:cs="Times New Roman"/>
          <w:color w:val="333333"/>
          <w:sz w:val="26"/>
          <w:szCs w:val="26"/>
        </w:rPr>
        <w:t> Hướng dẫn thực hiện quy định về trình tự, thủ tục tiến hành một cuộc thanh tra. Thông tư có hiệu lực từ ngày 3/2/2025.</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Thông tư gồm có 04 chương, 27 điều, 51 mẫu văn bản và có hiệu lực thi hành kể từ ngày 3/2/2025 thay thế Thông tư số 06/2021/TT-TTCP ngày 01/10/2021 của Thanh tra Chính phủ quy định về tổ chức, hoạt động của Đoàn thanh tra và trình tự, thủ tục tiến hành một cuộc thanh tra.</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Một trong những điểm nhấn của Thông tư số 08/2024 là việc quy định cụ thể các mẫu văn bản trong hoạt động thanh tra. Thông tư số 08/2024 cũng nêu rõ từng bước trong quy trình thanh tra, từ việc thu thập thông tin chuẩn bị thanh tra, ban hành quyết định thanh tra, xây dựng kế hoạch tiến hành thanh tra, đến công bố quyết định và triển khai thực hiện...</w:t>
      </w:r>
    </w:p>
    <w:p w:rsidR="00070177" w:rsidRPr="00070177" w:rsidRDefault="00070177" w:rsidP="005A29FF">
      <w:pPr>
        <w:shd w:val="clear" w:color="auto" w:fill="FFFFFF"/>
        <w:spacing w:after="0" w:line="450" w:lineRule="atLeast"/>
        <w:ind w:firstLine="720"/>
        <w:jc w:val="both"/>
        <w:outlineLvl w:val="2"/>
        <w:rPr>
          <w:rFonts w:ascii="NotoSerif" w:eastAsia="Times New Roman" w:hAnsi="NotoSerif" w:cs="Times New Roman"/>
          <w:b/>
          <w:bCs/>
          <w:color w:val="333333"/>
          <w:sz w:val="27"/>
          <w:szCs w:val="27"/>
        </w:rPr>
      </w:pPr>
      <w:r w:rsidRPr="00070177">
        <w:rPr>
          <w:rFonts w:ascii="NotoSerif" w:eastAsia="Times New Roman" w:hAnsi="NotoSerif" w:cs="Times New Roman"/>
          <w:b/>
          <w:bCs/>
          <w:color w:val="333333"/>
          <w:sz w:val="27"/>
          <w:szCs w:val="27"/>
        </w:rPr>
        <w:t>Đối tượng đăng ký thuế</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Bộ Tài chính ban hành Thông tư </w:t>
      </w:r>
      <w:hyperlink r:id="rId14" w:tgtFrame="_blank" w:tooltip="86/2024/TT-BTC" w:history="1">
        <w:r w:rsidRPr="00070177">
          <w:rPr>
            <w:rFonts w:ascii="NotoSerif" w:eastAsia="Times New Roman" w:hAnsi="NotoSerif" w:cs="Times New Roman"/>
            <w:color w:val="0000FF"/>
            <w:sz w:val="26"/>
            <w:szCs w:val="26"/>
            <w:u w:val="single"/>
          </w:rPr>
          <w:t>86/2024/TT-BTC</w:t>
        </w:r>
      </w:hyperlink>
      <w:r w:rsidRPr="00070177">
        <w:rPr>
          <w:rFonts w:ascii="NotoSerif" w:eastAsia="Times New Roman" w:hAnsi="NotoSerif" w:cs="Times New Roman"/>
          <w:color w:val="333333"/>
          <w:sz w:val="26"/>
          <w:szCs w:val="26"/>
        </w:rPr>
        <w:t> ngày 23/12/2024 quy định về đăng ký thuế.</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lastRenderedPageBreak/>
        <w:t>Trong đó, Điều 4 Thông tư 86/2024/TT-BTC quy định về đối tượng đăng ký thuế như sau:</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Đối tượng đăng ký thuế bao gồm:</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Người nộp thuế thuộc đối tượng thực hiện đăng ký thuế thông qua cơ chế một cửa liên thông theo quy định tại điểm a khoản 1 Điều 30 Luật Quản lý thuế.</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Người nộp thuế thuộc đối tượng thực hiện đăng ký thuế trực tiếp với cơ quan thuế theo quy định tại điểm b khoản 1 Điều 30 Luật Quản lý thuế.</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Người nộp thuế thuộc đối tượng thực hiện đăng ký thuế trực tiếp với cơ quan thuế, bao gồm:</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Doanh nghiệp hoạt động trong các lĩnh vực chuyên ngành không phải đăng ký doanh nghiệp qua cơ quan đăng ký kinh doanh theo quy định của pháp luật chuyên ngành (sau đây gọi là Tổ chức kinh tế).</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 Đơn vị sự nghiệp, tổ chức kinh tế của lực lượng vũ trang, tổ chức kinh tế của các tổ chức chính trị, chính trị-xã hội, xã hội, xã hội-nghề nghiệp hoạt động kinh doanh theo quy định của pháp luật nhưng không phải đăng ký doanh nghiệp qua cơ quan đăng ký kinh doanh…</w:t>
      </w:r>
    </w:p>
    <w:p w:rsidR="00070177" w:rsidRPr="00070177" w:rsidRDefault="00070177" w:rsidP="005A29FF">
      <w:pPr>
        <w:shd w:val="clear" w:color="auto" w:fill="FFFFFF"/>
        <w:spacing w:after="0" w:line="450" w:lineRule="atLeast"/>
        <w:ind w:firstLine="720"/>
        <w:jc w:val="both"/>
        <w:rPr>
          <w:rFonts w:ascii="NotoSerif" w:eastAsia="Times New Roman" w:hAnsi="NotoSerif" w:cs="Times New Roman"/>
          <w:color w:val="333333"/>
          <w:sz w:val="26"/>
          <w:szCs w:val="26"/>
        </w:rPr>
      </w:pPr>
      <w:r w:rsidRPr="00070177">
        <w:rPr>
          <w:rFonts w:ascii="NotoSerif" w:eastAsia="Times New Roman" w:hAnsi="NotoSerif" w:cs="Times New Roman"/>
          <w:color w:val="333333"/>
          <w:sz w:val="26"/>
          <w:szCs w:val="26"/>
        </w:rPr>
        <w:t>Thông tư có hiệu lực từ ngày 6/2/2025./.</w:t>
      </w:r>
    </w:p>
    <w:p w:rsidR="005A29FF" w:rsidRDefault="005A29FF" w:rsidP="005A29FF">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sidR="00C741FD">
        <w:rPr>
          <w:i/>
          <w:color w:val="000000"/>
          <w:sz w:val="28"/>
          <w:szCs w:val="28"/>
          <w:lang w:val="pl-PL"/>
        </w:rPr>
        <w:t>Yên Hồ</w:t>
      </w:r>
      <w:bookmarkStart w:id="0" w:name="_GoBack"/>
      <w:bookmarkEnd w:id="0"/>
      <w:r>
        <w:rPr>
          <w:i/>
          <w:color w:val="000000"/>
          <w:sz w:val="28"/>
          <w:szCs w:val="28"/>
          <w:lang w:val="pl-PL"/>
        </w:rPr>
        <w:t>, ngày 06 tháng 02 năm 2024</w:t>
      </w:r>
    </w:p>
    <w:p w:rsidR="005A29FF" w:rsidRDefault="005A29FF" w:rsidP="005A29FF">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5A29FF" w:rsidRDefault="005A29FF" w:rsidP="005A29FF">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5A29FF" w:rsidRPr="007D1CD6" w:rsidRDefault="005A29FF" w:rsidP="005A29FF">
      <w:pPr>
        <w:spacing w:after="0"/>
        <w:jc w:val="both"/>
        <w:rPr>
          <w:rFonts w:ascii="Times New Roman" w:hAnsi="Times New Roman" w:cs="Times New Roman"/>
          <w:sz w:val="28"/>
          <w:szCs w:val="28"/>
          <w:lang w:val="pl-PL"/>
        </w:rPr>
      </w:pPr>
    </w:p>
    <w:p w:rsidR="005A29FF" w:rsidRPr="007D1CD6" w:rsidRDefault="005A29FF" w:rsidP="005A29FF">
      <w:pPr>
        <w:spacing w:after="0"/>
        <w:jc w:val="both"/>
        <w:rPr>
          <w:rFonts w:ascii="Times New Roman" w:hAnsi="Times New Roman" w:cs="Times New Roman"/>
          <w:sz w:val="28"/>
          <w:szCs w:val="28"/>
          <w:lang w:val="pl-PL"/>
        </w:rPr>
      </w:pPr>
    </w:p>
    <w:p w:rsidR="005A29FF" w:rsidRPr="00AB0601" w:rsidRDefault="005A29FF" w:rsidP="005A29FF">
      <w:pPr>
        <w:spacing w:after="0"/>
        <w:jc w:val="both"/>
        <w:rPr>
          <w:rFonts w:ascii="Times New Roman" w:hAnsi="Times New Roman" w:cs="Times New Roman"/>
          <w:b/>
          <w:sz w:val="28"/>
          <w:szCs w:val="28"/>
        </w:rPr>
      </w:pPr>
      <w:r w:rsidRPr="007D1CD6">
        <w:rPr>
          <w:rFonts w:ascii="Times New Roman" w:hAnsi="Times New Roman" w:cs="Times New Roman"/>
          <w:sz w:val="28"/>
          <w:szCs w:val="28"/>
          <w:lang w:val="pl-PL"/>
        </w:rPr>
        <w:t xml:space="preserve">                                                                              </w:t>
      </w:r>
      <w:r w:rsidR="00C741FD">
        <w:rPr>
          <w:rFonts w:ascii="Times New Roman" w:hAnsi="Times New Roman" w:cs="Times New Roman"/>
          <w:b/>
          <w:sz w:val="28"/>
          <w:szCs w:val="28"/>
        </w:rPr>
        <w:t>Đoàn Thị Kiệm</w:t>
      </w:r>
    </w:p>
    <w:p w:rsidR="0098759F" w:rsidRDefault="0098759F"/>
    <w:sectPr w:rsidR="0098759F" w:rsidSect="00436694">
      <w:headerReference w:type="even" r:id="rId15"/>
      <w:headerReference w:type="default" r:id="rId16"/>
      <w:footerReference w:type="even" r:id="rId17"/>
      <w:footerReference w:type="default" r:id="rId18"/>
      <w:headerReference w:type="first" r:id="rId19"/>
      <w:footerReference w:type="first" r:id="rId20"/>
      <w:pgSz w:w="12240" w:h="15840"/>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C8" w:rsidRDefault="004945C8" w:rsidP="003F2A26">
      <w:pPr>
        <w:spacing w:after="0" w:line="240" w:lineRule="auto"/>
      </w:pPr>
      <w:r>
        <w:separator/>
      </w:r>
    </w:p>
  </w:endnote>
  <w:endnote w:type="continuationSeparator" w:id="0">
    <w:p w:rsidR="004945C8" w:rsidRDefault="004945C8" w:rsidP="003F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26" w:rsidRDefault="003F2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77841"/>
      <w:docPartObj>
        <w:docPartGallery w:val="Page Numbers (Bottom of Page)"/>
        <w:docPartUnique/>
      </w:docPartObj>
    </w:sdtPr>
    <w:sdtEndPr>
      <w:rPr>
        <w:noProof/>
      </w:rPr>
    </w:sdtEndPr>
    <w:sdtContent>
      <w:p w:rsidR="003F2A26" w:rsidRDefault="003F2A26">
        <w:pPr>
          <w:pStyle w:val="Footer"/>
          <w:jc w:val="center"/>
        </w:pPr>
        <w:r>
          <w:fldChar w:fldCharType="begin"/>
        </w:r>
        <w:r>
          <w:instrText xml:space="preserve"> PAGE   \* MERGEFORMAT </w:instrText>
        </w:r>
        <w:r>
          <w:fldChar w:fldCharType="separate"/>
        </w:r>
        <w:r w:rsidR="00C741FD">
          <w:rPr>
            <w:noProof/>
          </w:rPr>
          <w:t>5</w:t>
        </w:r>
        <w:r>
          <w:rPr>
            <w:noProof/>
          </w:rPr>
          <w:fldChar w:fldCharType="end"/>
        </w:r>
      </w:p>
    </w:sdtContent>
  </w:sdt>
  <w:p w:rsidR="003F2A26" w:rsidRDefault="003F2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26" w:rsidRDefault="003F2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C8" w:rsidRDefault="004945C8" w:rsidP="003F2A26">
      <w:pPr>
        <w:spacing w:after="0" w:line="240" w:lineRule="auto"/>
      </w:pPr>
      <w:r>
        <w:separator/>
      </w:r>
    </w:p>
  </w:footnote>
  <w:footnote w:type="continuationSeparator" w:id="0">
    <w:p w:rsidR="004945C8" w:rsidRDefault="004945C8" w:rsidP="003F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26" w:rsidRDefault="003F2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26" w:rsidRDefault="003F2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26" w:rsidRDefault="003F2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77"/>
    <w:rsid w:val="00070177"/>
    <w:rsid w:val="002A09E6"/>
    <w:rsid w:val="00332DD8"/>
    <w:rsid w:val="003F2A26"/>
    <w:rsid w:val="00436694"/>
    <w:rsid w:val="004945C8"/>
    <w:rsid w:val="005A29FF"/>
    <w:rsid w:val="007D1CD6"/>
    <w:rsid w:val="0098759F"/>
    <w:rsid w:val="00C7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01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0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1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017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0177"/>
    <w:rPr>
      <w:color w:val="0000FF"/>
      <w:u w:val="single"/>
    </w:rPr>
  </w:style>
  <w:style w:type="character" w:customStyle="1" w:styleId="player-duration">
    <w:name w:val="player-duration"/>
    <w:basedOn w:val="DefaultParagraphFont"/>
    <w:rsid w:val="00070177"/>
  </w:style>
  <w:style w:type="paragraph" w:styleId="NormalWeb">
    <w:name w:val="Normal (Web)"/>
    <w:basedOn w:val="Normal"/>
    <w:link w:val="NormalWebChar"/>
    <w:semiHidden/>
    <w:unhideWhenUsed/>
    <w:rsid w:val="000701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77"/>
    <w:rPr>
      <w:rFonts w:ascii="Tahoma" w:hAnsi="Tahoma" w:cs="Tahoma"/>
      <w:sz w:val="16"/>
      <w:szCs w:val="16"/>
    </w:rPr>
  </w:style>
  <w:style w:type="character" w:customStyle="1" w:styleId="NormalWebChar">
    <w:name w:val="Normal (Web) Char"/>
    <w:link w:val="NormalWeb"/>
    <w:semiHidden/>
    <w:locked/>
    <w:rsid w:val="005A29F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26"/>
  </w:style>
  <w:style w:type="paragraph" w:styleId="Footer">
    <w:name w:val="footer"/>
    <w:basedOn w:val="Normal"/>
    <w:link w:val="FooterChar"/>
    <w:uiPriority w:val="99"/>
    <w:unhideWhenUsed/>
    <w:rsid w:val="003F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01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0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01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017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0177"/>
    <w:rPr>
      <w:color w:val="0000FF"/>
      <w:u w:val="single"/>
    </w:rPr>
  </w:style>
  <w:style w:type="character" w:customStyle="1" w:styleId="player-duration">
    <w:name w:val="player-duration"/>
    <w:basedOn w:val="DefaultParagraphFont"/>
    <w:rsid w:val="00070177"/>
  </w:style>
  <w:style w:type="paragraph" w:styleId="NormalWeb">
    <w:name w:val="Normal (Web)"/>
    <w:basedOn w:val="Normal"/>
    <w:link w:val="NormalWebChar"/>
    <w:semiHidden/>
    <w:unhideWhenUsed/>
    <w:rsid w:val="000701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77"/>
    <w:rPr>
      <w:rFonts w:ascii="Tahoma" w:hAnsi="Tahoma" w:cs="Tahoma"/>
      <w:sz w:val="16"/>
      <w:szCs w:val="16"/>
    </w:rPr>
  </w:style>
  <w:style w:type="character" w:customStyle="1" w:styleId="NormalWebChar">
    <w:name w:val="Normal (Web) Char"/>
    <w:link w:val="NormalWeb"/>
    <w:semiHidden/>
    <w:locked/>
    <w:rsid w:val="005A29F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26"/>
  </w:style>
  <w:style w:type="paragraph" w:styleId="Footer">
    <w:name w:val="footer"/>
    <w:basedOn w:val="Normal"/>
    <w:link w:val="FooterChar"/>
    <w:uiPriority w:val="99"/>
    <w:unhideWhenUsed/>
    <w:rsid w:val="003F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3469">
      <w:bodyDiv w:val="1"/>
      <w:marLeft w:val="0"/>
      <w:marRight w:val="0"/>
      <w:marTop w:val="0"/>
      <w:marBottom w:val="0"/>
      <w:divBdr>
        <w:top w:val="none" w:sz="0" w:space="0" w:color="auto"/>
        <w:left w:val="none" w:sz="0" w:space="0" w:color="auto"/>
        <w:bottom w:val="none" w:sz="0" w:space="0" w:color="auto"/>
        <w:right w:val="none" w:sz="0" w:space="0" w:color="auto"/>
      </w:divBdr>
      <w:divsChild>
        <w:div w:id="1236551858">
          <w:marLeft w:val="120"/>
          <w:marRight w:val="0"/>
          <w:marTop w:val="0"/>
          <w:marBottom w:val="0"/>
          <w:divBdr>
            <w:top w:val="none" w:sz="0" w:space="0" w:color="auto"/>
            <w:left w:val="none" w:sz="0" w:space="0" w:color="auto"/>
            <w:bottom w:val="none" w:sz="0" w:space="0" w:color="auto"/>
            <w:right w:val="none" w:sz="0" w:space="0" w:color="auto"/>
          </w:divBdr>
          <w:divsChild>
            <w:div w:id="1054044627">
              <w:marLeft w:val="0"/>
              <w:marRight w:val="0"/>
              <w:marTop w:val="0"/>
              <w:marBottom w:val="0"/>
              <w:divBdr>
                <w:top w:val="none" w:sz="0" w:space="0" w:color="auto"/>
                <w:left w:val="none" w:sz="0" w:space="0" w:color="auto"/>
                <w:bottom w:val="none" w:sz="0" w:space="0" w:color="auto"/>
                <w:right w:val="none" w:sz="0" w:space="0" w:color="auto"/>
              </w:divBdr>
              <w:divsChild>
                <w:div w:id="3180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80616">
          <w:marLeft w:val="0"/>
          <w:marRight w:val="0"/>
          <w:marTop w:val="0"/>
          <w:marBottom w:val="450"/>
          <w:divBdr>
            <w:top w:val="single" w:sz="6" w:space="12" w:color="E6E6E6"/>
            <w:left w:val="none" w:sz="0" w:space="0" w:color="auto"/>
            <w:bottom w:val="none" w:sz="0" w:space="0" w:color="auto"/>
            <w:right w:val="none" w:sz="0" w:space="0" w:color="auto"/>
          </w:divBdr>
          <w:divsChild>
            <w:div w:id="1344892255">
              <w:marLeft w:val="0"/>
              <w:marRight w:val="0"/>
              <w:marTop w:val="0"/>
              <w:marBottom w:val="0"/>
              <w:divBdr>
                <w:top w:val="none" w:sz="0" w:space="0" w:color="auto"/>
                <w:left w:val="none" w:sz="0" w:space="0" w:color="auto"/>
                <w:bottom w:val="none" w:sz="0" w:space="0" w:color="auto"/>
                <w:right w:val="none" w:sz="0" w:space="0" w:color="auto"/>
              </w:divBdr>
              <w:divsChild>
                <w:div w:id="79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9723">
          <w:marLeft w:val="0"/>
          <w:marRight w:val="0"/>
          <w:marTop w:val="0"/>
          <w:marBottom w:val="0"/>
          <w:divBdr>
            <w:top w:val="none" w:sz="0" w:space="0" w:color="auto"/>
            <w:left w:val="none" w:sz="0" w:space="0" w:color="auto"/>
            <w:bottom w:val="none" w:sz="0" w:space="0" w:color="auto"/>
            <w:right w:val="none" w:sz="0" w:space="0" w:color="auto"/>
          </w:divBdr>
          <w:divsChild>
            <w:div w:id="7767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962" TargetMode="External"/><Relationship Id="rId13" Type="http://schemas.openxmlformats.org/officeDocument/2006/relationships/hyperlink" Target="https://vanban.chinhphu.vn/?pageid=27160&amp;docid=21217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anban.chinhphu.vn/?pageid=27160&amp;docid=212046" TargetMode="External"/><Relationship Id="rId12" Type="http://schemas.openxmlformats.org/officeDocument/2006/relationships/hyperlink" Target="https://vanban.chinhphu.vn/?pageid=27160&amp;docid=212099" TargetMode="External"/><Relationship Id="rId17" Type="http://schemas.openxmlformats.org/officeDocument/2006/relationships/footer" Target="footer1.xm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anban.chinhphu.vn/?pageid=27160&amp;docid=212398"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vanban.chinhphu.vn/?pageid=27160&amp;docid=21219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anban.chinhphu.vn/?pageid=27160&amp;docid=212135" TargetMode="External"/><Relationship Id="rId14" Type="http://schemas.openxmlformats.org/officeDocument/2006/relationships/hyperlink" Target="https://vanban.chinhphu.vn/?pageid=27160&amp;docid=2122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C68E8-B065-4069-BDA7-756096EC5827}"/>
</file>

<file path=customXml/itemProps2.xml><?xml version="1.0" encoding="utf-8"?>
<ds:datastoreItem xmlns:ds="http://schemas.openxmlformats.org/officeDocument/2006/customXml" ds:itemID="{986AFFD1-CDD0-44D0-9F12-61CF367645E6}"/>
</file>

<file path=customXml/itemProps3.xml><?xml version="1.0" encoding="utf-8"?>
<ds:datastoreItem xmlns:ds="http://schemas.openxmlformats.org/officeDocument/2006/customXml" ds:itemID="{B4ACB7AC-B945-4B04-9153-C608C2F9EF6E}"/>
</file>

<file path=docProps/app.xml><?xml version="1.0" encoding="utf-8"?>
<Properties xmlns="http://schemas.openxmlformats.org/officeDocument/2006/extended-properties" xmlns:vt="http://schemas.openxmlformats.org/officeDocument/2006/docPropsVTypes">
  <Template>Normal</Template>
  <TotalTime>3</TotalTime>
  <Pages>5</Pages>
  <Words>1511</Words>
  <Characters>8618</Characters>
  <Application>Microsoft Office Word</Application>
  <DocSecurity>0</DocSecurity>
  <Lines>71</Lines>
  <Paragraphs>20</Paragraphs>
  <ScaleCrop>false</ScaleCrop>
  <Company>Microsoft</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10</cp:revision>
  <dcterms:created xsi:type="dcterms:W3CDTF">2025-02-07T02:38:00Z</dcterms:created>
  <dcterms:modified xsi:type="dcterms:W3CDTF">2025-02-25T02:19:00Z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